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900"/>
        </w:tabs>
        <w:spacing w:line="600" w:lineRule="exact"/>
        <w:jc w:val="center"/>
        <w:rPr>
          <w:rFonts w:hint="eastAsia" w:ascii="方正小标宋简体" w:hAnsi="宋体" w:eastAsia="方正小标宋简体" w:cs="宋体"/>
          <w:kern w:val="0"/>
          <w:sz w:val="36"/>
          <w:szCs w:val="36"/>
        </w:rPr>
      </w:pPr>
      <w:r>
        <w:rPr>
          <w:rFonts w:hint="eastAsia" w:ascii="方正小标宋简体" w:eastAsia="方正小标宋简体"/>
          <w:sz w:val="36"/>
          <w:szCs w:val="36"/>
        </w:rPr>
        <w:t>2019年</w:t>
      </w:r>
      <w:r>
        <w:rPr>
          <w:rFonts w:hint="eastAsia" w:ascii="方正小标宋简体" w:eastAsia="方正小标宋简体"/>
          <w:sz w:val="36"/>
          <w:szCs w:val="36"/>
          <w:lang w:val="en-US" w:eastAsia="zh-CN"/>
        </w:rPr>
        <w:t>阳泉市水利工程项目技术中心</w:t>
      </w:r>
      <w:r>
        <w:rPr>
          <w:rFonts w:hint="eastAsia" w:ascii="方正小标宋简体" w:eastAsia="方正小标宋简体"/>
          <w:sz w:val="36"/>
          <w:szCs w:val="36"/>
        </w:rPr>
        <w:t>预算信息公开</w:t>
      </w:r>
    </w:p>
    <w:p>
      <w:pPr>
        <w:widowControl/>
        <w:spacing w:line="560" w:lineRule="exact"/>
        <w:ind w:firstLine="646"/>
        <w:jc w:val="left"/>
        <w:rPr>
          <w:rFonts w:hint="eastAsia" w:ascii="仿宋_GB2312" w:hAnsi="宋体" w:eastAsia="仿宋_GB2312" w:cs="宋体"/>
          <w:kern w:val="0"/>
          <w:sz w:val="28"/>
          <w:szCs w:val="28"/>
        </w:rPr>
      </w:pPr>
    </w:p>
    <w:p>
      <w:pPr>
        <w:widowControl/>
        <w:spacing w:line="640" w:lineRule="exact"/>
        <w:ind w:firstLine="630" w:firstLineChars="196"/>
        <w:jc w:val="left"/>
        <w:rPr>
          <w:rFonts w:hint="eastAsia" w:ascii="宋体" w:hAnsi="宋体" w:cs="宋体"/>
          <w:b/>
          <w:kern w:val="0"/>
          <w:sz w:val="32"/>
          <w:szCs w:val="32"/>
        </w:rPr>
      </w:pPr>
      <w:r>
        <w:rPr>
          <w:rFonts w:hint="eastAsia" w:ascii="宋体" w:hAnsi="宋体" w:cs="宋体"/>
          <w:b/>
          <w:kern w:val="0"/>
          <w:sz w:val="32"/>
          <w:szCs w:val="32"/>
        </w:rPr>
        <w:t>一、</w:t>
      </w:r>
      <w:r>
        <w:rPr>
          <w:rFonts w:hint="eastAsia" w:ascii="宋体" w:hAnsi="宋体" w:cs="宋体"/>
          <w:b/>
          <w:kern w:val="0"/>
          <w:sz w:val="32"/>
          <w:szCs w:val="32"/>
          <w:lang w:val="en-US" w:eastAsia="zh-CN"/>
        </w:rPr>
        <w:t>阳泉市水利工程项目技术中心</w:t>
      </w:r>
      <w:r>
        <w:rPr>
          <w:rFonts w:hint="eastAsia" w:ascii="宋体" w:hAnsi="宋体" w:cs="宋体"/>
          <w:b/>
          <w:kern w:val="0"/>
          <w:sz w:val="32"/>
          <w:szCs w:val="32"/>
        </w:rPr>
        <w:t>概况</w:t>
      </w:r>
    </w:p>
    <w:p>
      <w:pPr>
        <w:widowControl/>
        <w:spacing w:line="640" w:lineRule="exact"/>
        <w:ind w:firstLine="627" w:firstLineChars="196"/>
        <w:jc w:val="left"/>
        <w:rPr>
          <w:rFonts w:hint="eastAsia" w:ascii="楷体" w:hAnsi="楷体" w:eastAsia="楷体"/>
          <w:kern w:val="0"/>
          <w:sz w:val="32"/>
          <w:szCs w:val="32"/>
        </w:rPr>
      </w:pPr>
      <w:r>
        <w:rPr>
          <w:rFonts w:hint="eastAsia" w:ascii="楷体" w:hAnsi="楷体" w:eastAsia="楷体"/>
          <w:kern w:val="0"/>
          <w:sz w:val="32"/>
          <w:szCs w:val="32"/>
        </w:rPr>
        <w:t>（一）主要职能</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负责配合项目承担单位编制有关水利建设项目规划、设</w:t>
      </w:r>
    </w:p>
    <w:p>
      <w:pPr>
        <w:spacing w:line="580" w:lineRule="exact"/>
        <w:rPr>
          <w:rFonts w:hint="eastAsia" w:ascii="楷体" w:hAnsi="楷体" w:eastAsia="楷体"/>
          <w:kern w:val="0"/>
          <w:sz w:val="32"/>
          <w:szCs w:val="32"/>
        </w:rPr>
      </w:pPr>
      <w:r>
        <w:rPr>
          <w:rFonts w:hint="eastAsia" w:ascii="仿宋_GB2312" w:eastAsia="仿宋_GB2312"/>
          <w:sz w:val="32"/>
          <w:szCs w:val="32"/>
        </w:rPr>
        <w:t>计并做好其他前期工作；负责各级政府投资的水利项目的项目库建设工作；负责承担全市水利建设项目的筛选、申报立项、技术评审工作，协助开展水利建设项目的招投标、督查、验收等各项工作。</w:t>
      </w:r>
    </w:p>
    <w:p>
      <w:pPr>
        <w:widowControl/>
        <w:spacing w:line="640" w:lineRule="exact"/>
        <w:ind w:firstLine="627" w:firstLineChars="196"/>
        <w:jc w:val="left"/>
        <w:rPr>
          <w:rFonts w:hint="eastAsia" w:ascii="楷体" w:hAnsi="楷体" w:eastAsia="楷体"/>
          <w:kern w:val="0"/>
          <w:sz w:val="32"/>
          <w:szCs w:val="32"/>
        </w:rPr>
      </w:pPr>
      <w:r>
        <w:rPr>
          <w:rFonts w:hint="eastAsia" w:ascii="楷体" w:hAnsi="楷体" w:eastAsia="楷体"/>
          <w:kern w:val="0"/>
          <w:sz w:val="32"/>
          <w:szCs w:val="32"/>
        </w:rPr>
        <w:t>（二）2019年主要工作任务</w:t>
      </w:r>
    </w:p>
    <w:p>
      <w:pPr>
        <w:widowControl/>
        <w:spacing w:line="640" w:lineRule="exact"/>
        <w:ind w:firstLine="888" w:firstLineChars="296"/>
        <w:jc w:val="left"/>
        <w:rPr>
          <w:rFonts w:hint="eastAsia" w:ascii="仿宋_GB2312" w:eastAsia="仿宋_GB2312"/>
          <w:kern w:val="0"/>
          <w:sz w:val="30"/>
          <w:szCs w:val="30"/>
        </w:rPr>
      </w:pPr>
      <w:r>
        <w:rPr>
          <w:rFonts w:hint="eastAsia" w:ascii="仿宋_GB2312" w:eastAsia="仿宋_GB2312"/>
          <w:kern w:val="0"/>
          <w:sz w:val="30"/>
          <w:szCs w:val="30"/>
        </w:rPr>
        <w:t>部门预算单位构成：</w:t>
      </w:r>
    </w:p>
    <w:p>
      <w:pPr>
        <w:widowControl/>
        <w:spacing w:line="640" w:lineRule="exact"/>
        <w:ind w:firstLine="888" w:firstLineChars="296"/>
        <w:jc w:val="left"/>
        <w:rPr>
          <w:rFonts w:hint="eastAsia" w:ascii="仿宋_GB2312" w:eastAsia="仿宋_GB2312"/>
          <w:kern w:val="0"/>
          <w:sz w:val="30"/>
          <w:szCs w:val="30"/>
        </w:rPr>
      </w:pPr>
      <w:r>
        <w:rPr>
          <w:rFonts w:hint="eastAsia" w:ascii="仿宋_GB2312" w:eastAsia="仿宋_GB2312"/>
          <w:kern w:val="0"/>
          <w:sz w:val="30"/>
          <w:szCs w:val="30"/>
        </w:rPr>
        <w:t>预算</w:t>
      </w:r>
      <w:r>
        <w:rPr>
          <w:rFonts w:hint="eastAsia" w:ascii="仿宋_GB2312" w:eastAsia="仿宋_GB2312"/>
          <w:kern w:val="0"/>
          <w:sz w:val="30"/>
          <w:szCs w:val="30"/>
          <w:lang w:val="en-US" w:eastAsia="zh-CN"/>
        </w:rPr>
        <w:t>部门</w:t>
      </w:r>
      <w:r>
        <w:rPr>
          <w:rFonts w:hint="eastAsia" w:ascii="仿宋_GB2312" w:eastAsia="仿宋_GB2312"/>
          <w:kern w:val="0"/>
          <w:sz w:val="30"/>
          <w:szCs w:val="30"/>
        </w:rPr>
        <w:t>：</w:t>
      </w:r>
      <w:r>
        <w:rPr>
          <w:rFonts w:hint="eastAsia" w:ascii="仿宋_GB2312" w:eastAsia="仿宋_GB2312"/>
          <w:kern w:val="0"/>
          <w:sz w:val="30"/>
          <w:szCs w:val="30"/>
          <w:lang w:val="en-US" w:eastAsia="zh-CN"/>
        </w:rPr>
        <w:t>阳泉市水利工程项目技术中心</w:t>
      </w:r>
    </w:p>
    <w:tbl>
      <w:tblPr>
        <w:tblStyle w:val="2"/>
        <w:tblW w:w="7200" w:type="dxa"/>
        <w:tblInd w:w="1005" w:type="dxa"/>
        <w:tblLayout w:type="fixed"/>
        <w:tblCellMar>
          <w:top w:w="0" w:type="dxa"/>
          <w:left w:w="0" w:type="dxa"/>
          <w:bottom w:w="0" w:type="dxa"/>
          <w:right w:w="0" w:type="dxa"/>
        </w:tblCellMar>
      </w:tblPr>
      <w:tblGrid>
        <w:gridCol w:w="1800"/>
        <w:gridCol w:w="5400"/>
      </w:tblGrid>
      <w:tr>
        <w:tblPrEx>
          <w:tblLayout w:type="fixed"/>
        </w:tblPrEx>
        <w:trPr>
          <w:trHeight w:val="465" w:hRule="atLeast"/>
        </w:trPr>
        <w:tc>
          <w:tcPr>
            <w:tcW w:w="1800" w:type="dxa"/>
            <w:tcBorders>
              <w:top w:val="single" w:color="auto" w:sz="6" w:space="0"/>
              <w:left w:val="single" w:color="auto" w:sz="6" w:space="0"/>
              <w:bottom w:val="single" w:color="auto" w:sz="6" w:space="0"/>
              <w:right w:val="single" w:color="auto" w:sz="6" w:space="0"/>
            </w:tcBorders>
            <w:shd w:val="clear" w:color="auto" w:fill="auto"/>
            <w:noWrap w:val="0"/>
            <w:tcMar>
              <w:top w:w="0" w:type="dxa"/>
              <w:left w:w="105" w:type="dxa"/>
              <w:bottom w:w="0" w:type="dxa"/>
              <w:right w:w="105" w:type="dxa"/>
            </w:tcMar>
            <w:vAlign w:val="center"/>
          </w:tcPr>
          <w:p>
            <w:pPr>
              <w:widowControl/>
              <w:spacing w:line="360" w:lineRule="atLeast"/>
              <w:ind w:firstLine="548" w:firstLineChars="196"/>
              <w:jc w:val="left"/>
              <w:rPr>
                <w:rFonts w:hint="eastAsia" w:ascii="仿宋_GB2312" w:hAnsi="宋体" w:eastAsia="仿宋_GB2312" w:cs="宋体"/>
                <w:kern w:val="0"/>
                <w:sz w:val="28"/>
                <w:szCs w:val="28"/>
              </w:rPr>
            </w:pPr>
            <w:r>
              <w:rPr>
                <w:rFonts w:hint="eastAsia" w:ascii="仿宋_GB2312" w:eastAsia="仿宋_GB2312"/>
                <w:kern w:val="0"/>
                <w:sz w:val="28"/>
                <w:szCs w:val="28"/>
              </w:rPr>
              <w:t>序号</w:t>
            </w:r>
          </w:p>
        </w:tc>
        <w:tc>
          <w:tcPr>
            <w:tcW w:w="5400" w:type="dxa"/>
            <w:tcBorders>
              <w:top w:val="single" w:color="auto" w:sz="6" w:space="0"/>
              <w:left w:val="nil"/>
              <w:bottom w:val="single" w:color="auto" w:sz="6" w:space="0"/>
              <w:right w:val="single" w:color="auto" w:sz="6" w:space="0"/>
            </w:tcBorders>
            <w:shd w:val="clear" w:color="auto" w:fill="auto"/>
            <w:noWrap w:val="0"/>
            <w:tcMar>
              <w:top w:w="0" w:type="dxa"/>
              <w:left w:w="105" w:type="dxa"/>
              <w:bottom w:w="0" w:type="dxa"/>
              <w:right w:w="105" w:type="dxa"/>
            </w:tcMar>
            <w:vAlign w:val="center"/>
          </w:tcPr>
          <w:p>
            <w:pPr>
              <w:widowControl/>
              <w:spacing w:line="360" w:lineRule="atLeast"/>
              <w:ind w:firstLine="548" w:firstLineChars="196"/>
              <w:jc w:val="center"/>
              <w:rPr>
                <w:rFonts w:hint="eastAsia" w:ascii="仿宋_GB2312" w:hAnsi="宋体" w:eastAsia="仿宋_GB2312" w:cs="宋体"/>
                <w:kern w:val="0"/>
                <w:sz w:val="28"/>
                <w:szCs w:val="28"/>
              </w:rPr>
            </w:pPr>
            <w:r>
              <w:rPr>
                <w:rFonts w:hint="eastAsia" w:ascii="仿宋_GB2312" w:eastAsia="仿宋_GB2312"/>
                <w:kern w:val="0"/>
                <w:sz w:val="28"/>
                <w:szCs w:val="28"/>
              </w:rPr>
              <w:t>所属单位名称</w:t>
            </w:r>
          </w:p>
        </w:tc>
      </w:tr>
      <w:tr>
        <w:tblPrEx>
          <w:tblLayout w:type="fixed"/>
          <w:tblCellMar>
            <w:top w:w="0" w:type="dxa"/>
            <w:left w:w="0" w:type="dxa"/>
            <w:bottom w:w="0" w:type="dxa"/>
            <w:right w:w="0" w:type="dxa"/>
          </w:tblCellMar>
        </w:tblPrEx>
        <w:trPr>
          <w:trHeight w:val="465" w:hRule="atLeast"/>
        </w:trPr>
        <w:tc>
          <w:tcPr>
            <w:tcW w:w="1800" w:type="dxa"/>
            <w:tcBorders>
              <w:top w:val="nil"/>
              <w:left w:val="single" w:color="auto" w:sz="6" w:space="0"/>
              <w:bottom w:val="single" w:color="auto" w:sz="6" w:space="0"/>
              <w:right w:val="single" w:color="auto" w:sz="6" w:space="0"/>
            </w:tcBorders>
            <w:shd w:val="clear" w:color="auto" w:fill="auto"/>
            <w:noWrap w:val="0"/>
            <w:tcMar>
              <w:top w:w="0" w:type="dxa"/>
              <w:left w:w="105" w:type="dxa"/>
              <w:bottom w:w="0" w:type="dxa"/>
              <w:right w:w="105" w:type="dxa"/>
            </w:tcMar>
            <w:vAlign w:val="center"/>
          </w:tcPr>
          <w:p>
            <w:pPr>
              <w:widowControl/>
              <w:spacing w:line="360" w:lineRule="atLeast"/>
              <w:ind w:firstLine="548" w:firstLineChars="196"/>
              <w:jc w:val="left"/>
              <w:rPr>
                <w:rFonts w:hint="eastAsia" w:ascii="仿宋_GB2312" w:hAnsi="宋体" w:eastAsia="仿宋_GB2312" w:cs="宋体"/>
                <w:kern w:val="0"/>
                <w:sz w:val="28"/>
                <w:szCs w:val="28"/>
              </w:rPr>
            </w:pPr>
            <w:r>
              <w:rPr>
                <w:rFonts w:hint="eastAsia" w:ascii="仿宋_GB2312" w:eastAsia="仿宋_GB2312"/>
                <w:kern w:val="0"/>
                <w:sz w:val="28"/>
                <w:szCs w:val="28"/>
              </w:rPr>
              <w:t>1</w:t>
            </w:r>
          </w:p>
        </w:tc>
        <w:tc>
          <w:tcPr>
            <w:tcW w:w="5400" w:type="dxa"/>
            <w:tcBorders>
              <w:top w:val="nil"/>
              <w:left w:val="nil"/>
              <w:bottom w:val="single" w:color="auto" w:sz="6" w:space="0"/>
              <w:right w:val="single" w:color="auto" w:sz="6" w:space="0"/>
            </w:tcBorders>
            <w:shd w:val="clear" w:color="auto" w:fill="auto"/>
            <w:noWrap w:val="0"/>
            <w:tcMar>
              <w:top w:w="0" w:type="dxa"/>
              <w:left w:w="105" w:type="dxa"/>
              <w:bottom w:w="0" w:type="dxa"/>
              <w:right w:w="105" w:type="dxa"/>
            </w:tcMar>
            <w:vAlign w:val="center"/>
          </w:tcPr>
          <w:p>
            <w:pPr>
              <w:widowControl/>
              <w:spacing w:line="640" w:lineRule="exact"/>
              <w:jc w:val="center"/>
              <w:rPr>
                <w:rFonts w:hint="eastAsia" w:ascii="仿宋_GB2312" w:hAnsi="宋体" w:eastAsia="仿宋_GB2312" w:cs="宋体"/>
                <w:kern w:val="0"/>
                <w:sz w:val="24"/>
              </w:rPr>
            </w:pPr>
            <w:r>
              <w:rPr>
                <w:rFonts w:hint="eastAsia" w:ascii="仿宋_GB2312" w:eastAsia="仿宋_GB2312"/>
                <w:kern w:val="0"/>
                <w:sz w:val="30"/>
                <w:szCs w:val="30"/>
                <w:lang w:val="en-US" w:eastAsia="zh-CN"/>
              </w:rPr>
              <w:t>阳泉市水利工程项目技术中心</w:t>
            </w:r>
          </w:p>
        </w:tc>
      </w:tr>
    </w:tbl>
    <w:p>
      <w:pPr>
        <w:widowControl/>
        <w:spacing w:line="640" w:lineRule="exact"/>
        <w:ind w:firstLine="960" w:firstLineChars="300"/>
        <w:jc w:val="left"/>
        <w:rPr>
          <w:rFonts w:hint="default" w:ascii="仿宋" w:hAnsi="仿宋" w:eastAsia="仿宋"/>
          <w:sz w:val="32"/>
          <w:szCs w:val="32"/>
          <w:lang w:val="en-US" w:eastAsia="zh-CN"/>
        </w:rPr>
      </w:pP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年主要工作任务有：</w:t>
      </w:r>
      <w:r>
        <w:rPr>
          <w:rFonts w:hint="eastAsia" w:ascii="仿宋" w:hAnsi="仿宋" w:eastAsia="仿宋"/>
          <w:sz w:val="32"/>
          <w:szCs w:val="32"/>
        </w:rPr>
        <w:t>配合项目承担单位编制有关水利建设项目规划，为设计并做好其它前期工作，提供技术</w:t>
      </w:r>
      <w:bookmarkStart w:id="0" w:name="_GoBack"/>
      <w:bookmarkEnd w:id="0"/>
      <w:r>
        <w:rPr>
          <w:rFonts w:hint="eastAsia" w:ascii="仿宋" w:hAnsi="仿宋" w:eastAsia="仿宋"/>
          <w:sz w:val="32"/>
          <w:szCs w:val="32"/>
        </w:rPr>
        <w:t>服务</w:t>
      </w:r>
      <w:r>
        <w:rPr>
          <w:rFonts w:hint="eastAsia" w:ascii="仿宋" w:hAnsi="仿宋" w:eastAsia="仿宋"/>
          <w:sz w:val="32"/>
          <w:szCs w:val="32"/>
          <w:lang w:eastAsia="zh-CN"/>
        </w:rPr>
        <w:t>，</w:t>
      </w:r>
      <w:r>
        <w:rPr>
          <w:rFonts w:hint="eastAsia" w:ascii="仿宋" w:hAnsi="仿宋" w:eastAsia="仿宋"/>
          <w:sz w:val="32"/>
          <w:szCs w:val="32"/>
        </w:rPr>
        <w:t>完成滹沱河生态修复规划编制；做好各级政府投资的水利项目的项目库建设工作；完成各项拟建水利项目的筛选，申报主项，技术评审工作；协助开展水利建设项目的招投标，督查、验收等各项工作。</w:t>
      </w:r>
      <w:r>
        <w:rPr>
          <w:rFonts w:hint="eastAsia" w:ascii="仿宋" w:hAnsi="仿宋" w:eastAsia="仿宋"/>
          <w:sz w:val="32"/>
          <w:szCs w:val="32"/>
          <w:lang w:val="en-US" w:eastAsia="zh-CN"/>
        </w:rPr>
        <w:t>2019年重点工作为做好龙华口工程调水前期各项相关工作。</w:t>
      </w:r>
    </w:p>
    <w:p>
      <w:pPr>
        <w:widowControl/>
        <w:spacing w:line="640" w:lineRule="exact"/>
        <w:ind w:firstLine="630" w:firstLineChars="196"/>
        <w:jc w:val="left"/>
        <w:rPr>
          <w:rFonts w:hint="eastAsia" w:ascii="宋体" w:hAnsi="宋体" w:cs="宋体"/>
          <w:b/>
          <w:kern w:val="0"/>
          <w:sz w:val="32"/>
          <w:szCs w:val="32"/>
        </w:rPr>
      </w:pPr>
      <w:r>
        <w:rPr>
          <w:rFonts w:hint="eastAsia" w:ascii="宋体" w:hAnsi="宋体" w:cs="宋体"/>
          <w:b/>
          <w:kern w:val="0"/>
          <w:sz w:val="32"/>
          <w:szCs w:val="32"/>
        </w:rPr>
        <w:t>二、2019年</w:t>
      </w:r>
      <w:r>
        <w:rPr>
          <w:rFonts w:hint="eastAsia" w:ascii="宋体" w:hAnsi="宋体" w:cs="宋体"/>
          <w:b/>
          <w:kern w:val="0"/>
          <w:sz w:val="32"/>
          <w:szCs w:val="32"/>
          <w:lang w:val="en-US" w:eastAsia="zh-CN"/>
        </w:rPr>
        <w:t>阳泉市水利工程项目技术中心</w:t>
      </w:r>
      <w:r>
        <w:rPr>
          <w:rFonts w:hint="eastAsia" w:ascii="宋体" w:hAnsi="宋体" w:cs="宋体"/>
          <w:b/>
          <w:kern w:val="0"/>
          <w:sz w:val="32"/>
          <w:szCs w:val="32"/>
        </w:rPr>
        <w:t>预算安排情况说明</w:t>
      </w:r>
    </w:p>
    <w:p>
      <w:pPr>
        <w:widowControl/>
        <w:spacing w:line="640" w:lineRule="exact"/>
        <w:ind w:firstLine="627" w:firstLineChars="196"/>
        <w:jc w:val="left"/>
        <w:rPr>
          <w:rFonts w:hint="eastAsia" w:ascii="楷体" w:hAnsi="楷体" w:eastAsia="楷体"/>
          <w:kern w:val="0"/>
          <w:sz w:val="32"/>
          <w:szCs w:val="32"/>
        </w:rPr>
      </w:pPr>
      <w:r>
        <w:rPr>
          <w:rFonts w:hint="eastAsia" w:ascii="楷体" w:hAnsi="楷体" w:eastAsia="楷体"/>
          <w:kern w:val="0"/>
          <w:sz w:val="32"/>
          <w:szCs w:val="32"/>
        </w:rPr>
        <w:t>（一）收入预算总体安排情况及与上年增减变化原因说明</w:t>
      </w:r>
    </w:p>
    <w:p>
      <w:pPr>
        <w:widowControl/>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2019年收入预算</w:t>
      </w:r>
      <w:r>
        <w:rPr>
          <w:rFonts w:hint="eastAsia" w:ascii="仿宋_GB2312" w:eastAsia="仿宋_GB2312"/>
          <w:kern w:val="0"/>
          <w:sz w:val="30"/>
          <w:szCs w:val="30"/>
          <w:lang w:val="en-US" w:eastAsia="zh-CN"/>
        </w:rPr>
        <w:t>68.11</w:t>
      </w:r>
      <w:r>
        <w:rPr>
          <w:rFonts w:hint="eastAsia" w:ascii="仿宋_GB2312" w:eastAsia="仿宋_GB2312"/>
          <w:kern w:val="0"/>
          <w:sz w:val="30"/>
          <w:szCs w:val="30"/>
        </w:rPr>
        <w:t>万元，比2018年增加</w:t>
      </w:r>
      <w:r>
        <w:rPr>
          <w:rFonts w:hint="eastAsia" w:ascii="仿宋_GB2312" w:eastAsia="仿宋_GB2312"/>
          <w:kern w:val="0"/>
          <w:sz w:val="30"/>
          <w:szCs w:val="30"/>
          <w:lang w:val="en-US" w:eastAsia="zh-CN"/>
        </w:rPr>
        <w:t>5.61</w:t>
      </w:r>
      <w:r>
        <w:rPr>
          <w:rFonts w:hint="eastAsia" w:ascii="仿宋_GB2312" w:eastAsia="仿宋_GB2312"/>
          <w:kern w:val="0"/>
          <w:sz w:val="30"/>
          <w:szCs w:val="30"/>
        </w:rPr>
        <w:t>万元，增长</w:t>
      </w:r>
      <w:r>
        <w:rPr>
          <w:rFonts w:hint="eastAsia" w:ascii="仿宋_GB2312" w:eastAsia="仿宋_GB2312"/>
          <w:kern w:val="0"/>
          <w:sz w:val="30"/>
          <w:szCs w:val="30"/>
          <w:lang w:val="en-US" w:eastAsia="zh-CN"/>
        </w:rPr>
        <w:t>9</w:t>
      </w:r>
      <w:r>
        <w:rPr>
          <w:rFonts w:hint="eastAsia" w:ascii="仿宋_GB2312" w:eastAsia="仿宋_GB2312"/>
          <w:kern w:val="0"/>
          <w:sz w:val="30"/>
          <w:szCs w:val="30"/>
        </w:rPr>
        <w:t>%，主要原因是</w:t>
      </w:r>
      <w:r>
        <w:rPr>
          <w:rFonts w:hint="eastAsia" w:ascii="仿宋_GB2312" w:eastAsia="仿宋_GB2312"/>
          <w:kern w:val="0"/>
          <w:sz w:val="30"/>
          <w:szCs w:val="30"/>
          <w:lang w:val="en-US" w:eastAsia="zh-CN"/>
        </w:rPr>
        <w:t>人员工资增长</w:t>
      </w:r>
      <w:r>
        <w:rPr>
          <w:rFonts w:hint="eastAsia" w:ascii="仿宋_GB2312" w:eastAsia="仿宋_GB2312"/>
          <w:kern w:val="0"/>
          <w:sz w:val="30"/>
          <w:szCs w:val="30"/>
        </w:rPr>
        <w:t>。</w:t>
      </w:r>
    </w:p>
    <w:p>
      <w:pPr>
        <w:widowControl/>
        <w:spacing w:line="640" w:lineRule="exact"/>
        <w:ind w:firstLine="627" w:firstLineChars="196"/>
        <w:jc w:val="left"/>
        <w:rPr>
          <w:rFonts w:hint="eastAsia" w:ascii="楷体" w:hAnsi="楷体" w:eastAsia="楷体"/>
          <w:kern w:val="0"/>
          <w:sz w:val="32"/>
          <w:szCs w:val="32"/>
        </w:rPr>
      </w:pPr>
      <w:r>
        <w:rPr>
          <w:rFonts w:hint="eastAsia" w:ascii="楷体" w:hAnsi="楷体" w:eastAsia="楷体"/>
          <w:kern w:val="0"/>
          <w:sz w:val="32"/>
          <w:szCs w:val="32"/>
        </w:rPr>
        <w:t>（二）支出预算总体安排情况及与上年增减变化原因说明</w:t>
      </w:r>
    </w:p>
    <w:p>
      <w:pPr>
        <w:widowControl/>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2019年支出预算</w:t>
      </w:r>
      <w:r>
        <w:rPr>
          <w:rFonts w:hint="eastAsia" w:ascii="仿宋_GB2312" w:eastAsia="仿宋_GB2312"/>
          <w:kern w:val="0"/>
          <w:sz w:val="30"/>
          <w:szCs w:val="30"/>
          <w:lang w:val="en-US" w:eastAsia="zh-CN"/>
        </w:rPr>
        <w:t>68.11</w:t>
      </w:r>
      <w:r>
        <w:rPr>
          <w:rFonts w:hint="eastAsia" w:ascii="仿宋_GB2312" w:eastAsia="仿宋_GB2312"/>
          <w:kern w:val="0"/>
          <w:sz w:val="30"/>
          <w:szCs w:val="30"/>
        </w:rPr>
        <w:t>万元，比2018年增加</w:t>
      </w:r>
      <w:r>
        <w:rPr>
          <w:rFonts w:hint="eastAsia" w:ascii="仿宋_GB2312" w:eastAsia="仿宋_GB2312"/>
          <w:kern w:val="0"/>
          <w:sz w:val="30"/>
          <w:szCs w:val="30"/>
          <w:lang w:val="en-US" w:eastAsia="zh-CN"/>
        </w:rPr>
        <w:t>5.61</w:t>
      </w:r>
      <w:r>
        <w:rPr>
          <w:rFonts w:hint="eastAsia" w:ascii="仿宋_GB2312" w:eastAsia="仿宋_GB2312"/>
          <w:kern w:val="0"/>
          <w:sz w:val="30"/>
          <w:szCs w:val="30"/>
        </w:rPr>
        <w:t>万元，增长</w:t>
      </w:r>
      <w:r>
        <w:rPr>
          <w:rFonts w:hint="eastAsia" w:ascii="仿宋_GB2312" w:eastAsia="仿宋_GB2312"/>
          <w:kern w:val="0"/>
          <w:sz w:val="30"/>
          <w:szCs w:val="30"/>
          <w:lang w:val="en-US" w:eastAsia="zh-CN"/>
        </w:rPr>
        <w:t>9</w:t>
      </w:r>
      <w:r>
        <w:rPr>
          <w:rFonts w:hint="eastAsia" w:ascii="仿宋_GB2312" w:eastAsia="仿宋_GB2312"/>
          <w:kern w:val="0"/>
          <w:sz w:val="30"/>
          <w:szCs w:val="30"/>
        </w:rPr>
        <w:t>%，主要原因是</w:t>
      </w:r>
      <w:r>
        <w:rPr>
          <w:rFonts w:hint="eastAsia" w:ascii="仿宋_GB2312" w:eastAsia="仿宋_GB2312"/>
          <w:kern w:val="0"/>
          <w:sz w:val="30"/>
          <w:szCs w:val="30"/>
          <w:lang w:val="en-US" w:eastAsia="zh-CN"/>
        </w:rPr>
        <w:t>人员工资增长</w:t>
      </w:r>
      <w:r>
        <w:rPr>
          <w:rFonts w:hint="eastAsia" w:ascii="仿宋_GB2312" w:eastAsia="仿宋_GB2312"/>
          <w:kern w:val="0"/>
          <w:sz w:val="30"/>
          <w:szCs w:val="30"/>
        </w:rPr>
        <w:t>。</w:t>
      </w:r>
    </w:p>
    <w:p>
      <w:pPr>
        <w:widowControl/>
        <w:spacing w:line="640" w:lineRule="exact"/>
        <w:ind w:firstLine="627" w:firstLineChars="196"/>
        <w:jc w:val="left"/>
        <w:rPr>
          <w:rFonts w:hint="eastAsia" w:ascii="仿宋_GB2312" w:eastAsia="仿宋_GB2312"/>
          <w:kern w:val="0"/>
          <w:sz w:val="30"/>
          <w:szCs w:val="30"/>
        </w:rPr>
      </w:pPr>
      <w:r>
        <w:rPr>
          <w:rFonts w:hint="eastAsia" w:ascii="楷体" w:hAnsi="楷体" w:eastAsia="楷体"/>
          <w:kern w:val="0"/>
          <w:sz w:val="32"/>
          <w:szCs w:val="32"/>
        </w:rPr>
        <w:t>（三）一般公共预算资金支出安排情况与上年增减变化原因说明。</w:t>
      </w:r>
    </w:p>
    <w:p>
      <w:pPr>
        <w:widowControl/>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1．2019年基本支出</w:t>
      </w:r>
      <w:r>
        <w:rPr>
          <w:rFonts w:hint="eastAsia" w:ascii="仿宋_GB2312" w:eastAsia="仿宋_GB2312"/>
          <w:kern w:val="0"/>
          <w:sz w:val="30"/>
          <w:szCs w:val="30"/>
          <w:lang w:val="en-US" w:eastAsia="zh-CN"/>
        </w:rPr>
        <w:t>68.11</w:t>
      </w:r>
      <w:r>
        <w:rPr>
          <w:rFonts w:hint="eastAsia" w:ascii="仿宋_GB2312" w:eastAsia="仿宋_GB2312"/>
          <w:kern w:val="0"/>
          <w:sz w:val="30"/>
          <w:szCs w:val="30"/>
        </w:rPr>
        <w:t>万元，比2018年增加</w:t>
      </w:r>
      <w:r>
        <w:rPr>
          <w:rFonts w:hint="eastAsia" w:ascii="仿宋_GB2312" w:eastAsia="仿宋_GB2312"/>
          <w:kern w:val="0"/>
          <w:sz w:val="30"/>
          <w:szCs w:val="30"/>
          <w:lang w:val="en-US" w:eastAsia="zh-CN"/>
        </w:rPr>
        <w:t>5.61</w:t>
      </w:r>
      <w:r>
        <w:rPr>
          <w:rFonts w:hint="eastAsia" w:ascii="仿宋_GB2312" w:eastAsia="仿宋_GB2312"/>
          <w:kern w:val="0"/>
          <w:sz w:val="30"/>
          <w:szCs w:val="30"/>
        </w:rPr>
        <w:t>万元，主要原因是</w:t>
      </w:r>
      <w:r>
        <w:rPr>
          <w:rFonts w:hint="eastAsia" w:ascii="仿宋_GB2312" w:eastAsia="仿宋_GB2312"/>
          <w:kern w:val="0"/>
          <w:sz w:val="30"/>
          <w:szCs w:val="30"/>
          <w:lang w:val="en-US" w:eastAsia="zh-CN"/>
        </w:rPr>
        <w:t>人员工资增长</w:t>
      </w:r>
      <w:r>
        <w:rPr>
          <w:rFonts w:hint="eastAsia" w:ascii="仿宋_GB2312" w:eastAsia="仿宋_GB2312"/>
          <w:kern w:val="0"/>
          <w:sz w:val="30"/>
          <w:szCs w:val="30"/>
        </w:rPr>
        <w:t>。</w:t>
      </w:r>
    </w:p>
    <w:p>
      <w:pPr>
        <w:widowControl/>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2．2019年</w:t>
      </w:r>
      <w:r>
        <w:rPr>
          <w:rFonts w:hint="eastAsia" w:ascii="仿宋_GB2312" w:eastAsia="仿宋_GB2312"/>
          <w:kern w:val="0"/>
          <w:sz w:val="30"/>
          <w:szCs w:val="30"/>
          <w:lang w:val="en-US" w:eastAsia="zh-CN"/>
        </w:rPr>
        <w:t>无</w:t>
      </w:r>
      <w:r>
        <w:rPr>
          <w:rFonts w:hint="eastAsia" w:ascii="仿宋_GB2312" w:eastAsia="仿宋_GB2312"/>
          <w:kern w:val="0"/>
          <w:sz w:val="30"/>
          <w:szCs w:val="30"/>
        </w:rPr>
        <w:t>项目支出。</w:t>
      </w:r>
    </w:p>
    <w:p>
      <w:pPr>
        <w:widowControl/>
        <w:spacing w:line="640" w:lineRule="exact"/>
        <w:ind w:firstLine="627" w:firstLineChars="196"/>
        <w:jc w:val="left"/>
        <w:rPr>
          <w:rFonts w:hint="eastAsia" w:ascii="楷体" w:hAnsi="楷体" w:eastAsia="楷体"/>
          <w:kern w:val="0"/>
          <w:sz w:val="32"/>
          <w:szCs w:val="32"/>
        </w:rPr>
      </w:pPr>
      <w:r>
        <w:rPr>
          <w:rFonts w:hint="eastAsia" w:ascii="楷体" w:hAnsi="楷体" w:eastAsia="楷体"/>
          <w:kern w:val="0"/>
          <w:sz w:val="32"/>
          <w:szCs w:val="32"/>
        </w:rPr>
        <w:t>（四）政府性基金支出预算情况</w:t>
      </w:r>
    </w:p>
    <w:p>
      <w:pPr>
        <w:widowControl/>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lang w:val="en-US" w:eastAsia="zh-CN"/>
        </w:rPr>
        <w:t>阳泉市水利工程项目技术中心</w:t>
      </w:r>
      <w:r>
        <w:rPr>
          <w:rFonts w:hint="eastAsia" w:ascii="仿宋_GB2312" w:eastAsia="仿宋_GB2312"/>
          <w:kern w:val="0"/>
          <w:sz w:val="30"/>
          <w:szCs w:val="30"/>
        </w:rPr>
        <w:t>2019年</w:t>
      </w:r>
      <w:r>
        <w:rPr>
          <w:rFonts w:hint="eastAsia" w:ascii="仿宋_GB2312" w:eastAsia="仿宋_GB2312"/>
          <w:kern w:val="0"/>
          <w:sz w:val="30"/>
          <w:szCs w:val="30"/>
          <w:lang w:val="en-US" w:eastAsia="zh-CN"/>
        </w:rPr>
        <w:t>无</w:t>
      </w:r>
      <w:r>
        <w:rPr>
          <w:rFonts w:hint="eastAsia" w:ascii="仿宋_GB2312" w:eastAsia="仿宋_GB2312"/>
          <w:kern w:val="0"/>
          <w:sz w:val="30"/>
          <w:szCs w:val="30"/>
        </w:rPr>
        <w:t>使用政府性基金预算拨款安排的支出。</w:t>
      </w:r>
    </w:p>
    <w:p>
      <w:pPr>
        <w:widowControl/>
        <w:spacing w:line="600" w:lineRule="exact"/>
        <w:ind w:firstLine="630" w:firstLineChars="196"/>
        <w:jc w:val="left"/>
        <w:rPr>
          <w:rFonts w:hint="eastAsia" w:ascii="宋体" w:hAnsi="宋体" w:cs="宋体"/>
          <w:b/>
          <w:kern w:val="0"/>
          <w:sz w:val="32"/>
          <w:szCs w:val="32"/>
        </w:rPr>
      </w:pPr>
      <w:r>
        <w:rPr>
          <w:rFonts w:hint="eastAsia" w:ascii="宋体" w:hAnsi="宋体" w:cs="宋体"/>
          <w:b/>
          <w:kern w:val="0"/>
          <w:sz w:val="32"/>
          <w:szCs w:val="32"/>
        </w:rPr>
        <w:t>三、其他重要事项</w:t>
      </w:r>
    </w:p>
    <w:p>
      <w:pPr>
        <w:widowControl/>
        <w:tabs>
          <w:tab w:val="left" w:pos="720"/>
          <w:tab w:val="left" w:pos="1080"/>
        </w:tabs>
        <w:spacing w:line="600" w:lineRule="exact"/>
        <w:ind w:left="-149" w:leftChars="-71" w:firstLine="627" w:firstLineChars="196"/>
        <w:jc w:val="left"/>
        <w:rPr>
          <w:rFonts w:hint="eastAsia" w:ascii="楷体" w:hAnsi="楷体" w:eastAsia="楷体"/>
          <w:kern w:val="0"/>
          <w:sz w:val="30"/>
          <w:szCs w:val="30"/>
        </w:rPr>
      </w:pPr>
      <w:r>
        <w:rPr>
          <w:rFonts w:hint="eastAsia" w:ascii="楷体" w:hAnsi="楷体" w:eastAsia="楷体"/>
          <w:kern w:val="0"/>
          <w:sz w:val="32"/>
          <w:szCs w:val="32"/>
        </w:rPr>
        <w:t>（一）“三公”经费安排情况及增减变化原因</w:t>
      </w:r>
    </w:p>
    <w:p>
      <w:pPr>
        <w:widowControl/>
        <w:tabs>
          <w:tab w:val="left" w:pos="720"/>
          <w:tab w:val="left" w:pos="1080"/>
        </w:tabs>
        <w:spacing w:line="560" w:lineRule="exact"/>
        <w:ind w:left="-149" w:leftChars="-71" w:firstLine="800" w:firstLineChars="250"/>
        <w:jc w:val="left"/>
        <w:rPr>
          <w:rFonts w:hint="eastAsia" w:ascii="仿宋" w:hAnsi="仿宋" w:eastAsia="仿宋"/>
          <w:kern w:val="0"/>
          <w:sz w:val="30"/>
          <w:szCs w:val="30"/>
          <w:lang w:val="en-US" w:eastAsia="zh-CN"/>
        </w:rPr>
      </w:pPr>
      <w:r>
        <w:rPr>
          <w:rFonts w:hint="eastAsia" w:ascii="仿宋_GB2312" w:eastAsia="仿宋_GB2312"/>
          <w:kern w:val="0"/>
          <w:sz w:val="32"/>
          <w:szCs w:val="32"/>
        </w:rPr>
        <w:t>201</w:t>
      </w:r>
      <w:r>
        <w:rPr>
          <w:rFonts w:hint="eastAsia" w:ascii="仿宋_GB2312" w:eastAsia="仿宋_GB2312"/>
          <w:kern w:val="0"/>
          <w:sz w:val="32"/>
          <w:szCs w:val="32"/>
          <w:lang w:val="en-US" w:eastAsia="zh-CN"/>
        </w:rPr>
        <w:t>9</w:t>
      </w:r>
      <w:r>
        <w:rPr>
          <w:rFonts w:hint="eastAsia" w:ascii="仿宋_GB2312" w:eastAsia="仿宋_GB2312"/>
          <w:kern w:val="0"/>
          <w:sz w:val="32"/>
          <w:szCs w:val="32"/>
        </w:rPr>
        <w:t>年部门预算中，</w:t>
      </w:r>
      <w:r>
        <w:rPr>
          <w:rFonts w:hint="eastAsia" w:ascii="仿宋" w:hAnsi="仿宋" w:eastAsia="仿宋"/>
          <w:kern w:val="0"/>
          <w:sz w:val="30"/>
          <w:szCs w:val="30"/>
          <w:lang w:val="en-US" w:eastAsia="zh-CN"/>
        </w:rPr>
        <w:t>“三公”经费支出1.85万元，包括公务接待费0.05万元、公务用车运行维护费1.8万元。与上年度持平。</w:t>
      </w:r>
    </w:p>
    <w:p>
      <w:pPr>
        <w:widowControl/>
        <w:numPr>
          <w:ilvl w:val="0"/>
          <w:numId w:val="1"/>
        </w:numPr>
        <w:spacing w:line="640" w:lineRule="exact"/>
        <w:ind w:firstLine="627" w:firstLineChars="196"/>
        <w:jc w:val="left"/>
        <w:rPr>
          <w:rFonts w:hint="eastAsia" w:ascii="楷体_GB2312" w:eastAsia="楷体_GB2312"/>
          <w:kern w:val="0"/>
          <w:sz w:val="32"/>
          <w:szCs w:val="32"/>
        </w:rPr>
      </w:pPr>
      <w:r>
        <w:rPr>
          <w:rFonts w:hint="eastAsia" w:ascii="楷体_GB2312" w:eastAsia="楷体_GB2312"/>
          <w:kern w:val="0"/>
          <w:sz w:val="32"/>
          <w:szCs w:val="32"/>
        </w:rPr>
        <w:t>机关运行经费安排使用情况</w:t>
      </w:r>
    </w:p>
    <w:p>
      <w:pPr>
        <w:widowControl/>
        <w:tabs>
          <w:tab w:val="left" w:pos="720"/>
          <w:tab w:val="left" w:pos="1080"/>
        </w:tabs>
        <w:spacing w:line="560" w:lineRule="exact"/>
        <w:ind w:left="-149" w:leftChars="-71" w:firstLine="750" w:firstLineChars="250"/>
        <w:jc w:val="left"/>
        <w:rPr>
          <w:rFonts w:hint="eastAsia" w:ascii="仿宋" w:hAnsi="仿宋" w:eastAsia="仿宋"/>
          <w:kern w:val="0"/>
          <w:sz w:val="30"/>
          <w:szCs w:val="30"/>
          <w:lang w:val="en-US" w:eastAsia="zh-CN"/>
        </w:rPr>
      </w:pPr>
      <w:r>
        <w:rPr>
          <w:rFonts w:hint="eastAsia" w:ascii="仿宋" w:hAnsi="仿宋" w:eastAsia="仿宋"/>
          <w:kern w:val="0"/>
          <w:sz w:val="30"/>
          <w:szCs w:val="30"/>
          <w:lang w:val="en-US" w:eastAsia="zh-CN"/>
        </w:rPr>
        <w:t>本部门单位没有相关内容</w:t>
      </w:r>
    </w:p>
    <w:p>
      <w:pPr>
        <w:widowControl/>
        <w:numPr>
          <w:ilvl w:val="0"/>
          <w:numId w:val="0"/>
        </w:numPr>
        <w:spacing w:line="640" w:lineRule="exact"/>
        <w:ind w:firstLine="640" w:firstLineChars="200"/>
        <w:jc w:val="left"/>
        <w:rPr>
          <w:rFonts w:hint="eastAsia"/>
        </w:rPr>
      </w:pPr>
      <w:r>
        <w:rPr>
          <w:rFonts w:hint="eastAsia" w:ascii="楷体_GB2312" w:eastAsia="楷体_GB2312"/>
          <w:kern w:val="0"/>
          <w:sz w:val="32"/>
          <w:szCs w:val="32"/>
        </w:rPr>
        <w:t>（</w:t>
      </w:r>
      <w:r>
        <w:rPr>
          <w:rFonts w:hint="eastAsia" w:ascii="楷体_GB2312" w:eastAsia="楷体_GB2312"/>
          <w:kern w:val="0"/>
          <w:sz w:val="32"/>
          <w:szCs w:val="32"/>
          <w:lang w:val="en-US" w:eastAsia="zh-CN"/>
        </w:rPr>
        <w:t>三</w:t>
      </w:r>
      <w:r>
        <w:rPr>
          <w:rFonts w:hint="eastAsia" w:ascii="楷体_GB2312" w:eastAsia="楷体_GB2312"/>
          <w:kern w:val="0"/>
          <w:sz w:val="32"/>
          <w:szCs w:val="32"/>
        </w:rPr>
        <w:t>）政府采购信息</w:t>
      </w:r>
    </w:p>
    <w:p>
      <w:pPr>
        <w:widowControl/>
        <w:spacing w:line="520" w:lineRule="exact"/>
        <w:ind w:firstLine="600" w:firstLineChars="200"/>
        <w:jc w:val="left"/>
        <w:rPr>
          <w:rFonts w:hint="eastAsia" w:ascii="楷体_GB2312" w:eastAsia="楷体_GB2312"/>
          <w:kern w:val="0"/>
          <w:sz w:val="32"/>
          <w:szCs w:val="32"/>
        </w:rPr>
      </w:pPr>
      <w:r>
        <w:rPr>
          <w:rFonts w:hint="eastAsia" w:ascii="仿宋_GB2312" w:eastAsia="仿宋_GB2312"/>
          <w:kern w:val="0"/>
          <w:sz w:val="30"/>
          <w:szCs w:val="30"/>
        </w:rPr>
        <w:t>2019年</w:t>
      </w:r>
      <w:r>
        <w:rPr>
          <w:rFonts w:hint="eastAsia" w:ascii="仿宋_GB2312" w:eastAsia="仿宋_GB2312"/>
          <w:kern w:val="0"/>
          <w:sz w:val="30"/>
          <w:szCs w:val="30"/>
          <w:lang w:val="en-US" w:eastAsia="zh-CN"/>
        </w:rPr>
        <w:t>阳泉市水利工程项目技术中心</w:t>
      </w:r>
      <w:r>
        <w:rPr>
          <w:rFonts w:hint="eastAsia" w:ascii="仿宋_GB2312" w:eastAsia="仿宋_GB2312"/>
          <w:kern w:val="0"/>
          <w:sz w:val="30"/>
          <w:szCs w:val="30"/>
        </w:rPr>
        <w:t>政府采购预算总额</w:t>
      </w:r>
      <w:r>
        <w:rPr>
          <w:rFonts w:hint="eastAsia" w:ascii="仿宋_GB2312" w:eastAsia="仿宋_GB2312"/>
          <w:kern w:val="0"/>
          <w:sz w:val="30"/>
          <w:szCs w:val="30"/>
          <w:lang w:val="en-US" w:eastAsia="zh-CN"/>
        </w:rPr>
        <w:t>0.50</w:t>
      </w:r>
      <w:r>
        <w:rPr>
          <w:rFonts w:hint="eastAsia" w:ascii="仿宋_GB2312" w:eastAsia="仿宋_GB2312"/>
          <w:kern w:val="0"/>
          <w:sz w:val="30"/>
          <w:szCs w:val="30"/>
        </w:rPr>
        <w:t>万元，</w:t>
      </w:r>
      <w:r>
        <w:rPr>
          <w:rFonts w:hint="eastAsia" w:ascii="仿宋_GB2312" w:eastAsia="仿宋_GB2312"/>
          <w:kern w:val="0"/>
          <w:sz w:val="32"/>
          <w:szCs w:val="32"/>
          <w:lang w:val="en-US" w:eastAsia="zh-CN"/>
        </w:rPr>
        <w:t>采购项目为公务用车运行维护费，采购目录为车辆保险。</w:t>
      </w:r>
    </w:p>
    <w:p>
      <w:pPr>
        <w:widowControl/>
        <w:tabs>
          <w:tab w:val="left" w:pos="993"/>
          <w:tab w:val="left" w:pos="1276"/>
        </w:tabs>
        <w:spacing w:line="640" w:lineRule="exact"/>
        <w:ind w:firstLine="627" w:firstLineChars="196"/>
        <w:jc w:val="left"/>
        <w:rPr>
          <w:rFonts w:hint="eastAsia" w:ascii="仿宋_GB2312" w:eastAsia="仿宋_GB2312"/>
          <w:kern w:val="0"/>
          <w:sz w:val="30"/>
          <w:szCs w:val="30"/>
        </w:rPr>
      </w:pPr>
      <w:r>
        <w:rPr>
          <w:rFonts w:hint="eastAsia" w:ascii="楷体_GB2312" w:eastAsia="楷体_GB2312"/>
          <w:kern w:val="0"/>
          <w:sz w:val="32"/>
          <w:szCs w:val="32"/>
        </w:rPr>
        <w:t>（</w:t>
      </w:r>
      <w:r>
        <w:rPr>
          <w:rFonts w:hint="eastAsia" w:ascii="楷体_GB2312" w:eastAsia="楷体_GB2312"/>
          <w:kern w:val="0"/>
          <w:sz w:val="32"/>
          <w:szCs w:val="32"/>
          <w:lang w:val="en-US" w:eastAsia="zh-CN"/>
        </w:rPr>
        <w:t>三</w:t>
      </w:r>
      <w:r>
        <w:rPr>
          <w:rFonts w:hint="eastAsia" w:ascii="楷体_GB2312" w:eastAsia="楷体_GB2312"/>
          <w:kern w:val="0"/>
          <w:sz w:val="32"/>
          <w:szCs w:val="32"/>
        </w:rPr>
        <w:t>）国有资产占有使用情况</w:t>
      </w:r>
    </w:p>
    <w:p>
      <w:pPr>
        <w:widowControl/>
        <w:spacing w:line="640" w:lineRule="exact"/>
        <w:ind w:firstLine="588" w:firstLineChars="196"/>
        <w:jc w:val="left"/>
        <w:rPr>
          <w:rFonts w:hint="default" w:ascii="仿宋_GB2312" w:eastAsia="仿宋_GB2312"/>
          <w:kern w:val="0"/>
          <w:sz w:val="30"/>
          <w:szCs w:val="30"/>
          <w:lang w:val="en-US" w:eastAsia="zh-CN"/>
        </w:rPr>
      </w:pPr>
      <w:r>
        <w:rPr>
          <w:rFonts w:hint="eastAsia" w:ascii="仿宋_GB2312" w:eastAsia="仿宋_GB2312"/>
          <w:kern w:val="0"/>
          <w:sz w:val="30"/>
          <w:szCs w:val="30"/>
        </w:rPr>
        <w:t>1.车辆情况</w:t>
      </w:r>
      <w:r>
        <w:rPr>
          <w:rFonts w:hint="eastAsia" w:ascii="仿宋_GB2312" w:eastAsia="仿宋_GB2312"/>
          <w:kern w:val="0"/>
          <w:sz w:val="30"/>
          <w:szCs w:val="30"/>
          <w:lang w:eastAsia="zh-CN"/>
        </w:rPr>
        <w:t>：</w:t>
      </w:r>
      <w:r>
        <w:rPr>
          <w:rFonts w:hint="eastAsia" w:ascii="仿宋_GB2312" w:eastAsia="仿宋_GB2312"/>
          <w:kern w:val="0"/>
          <w:sz w:val="30"/>
          <w:szCs w:val="30"/>
          <w:lang w:val="en-US" w:eastAsia="zh-CN"/>
        </w:rPr>
        <w:t>阳泉市水利工程项目技术中心于2018年8月按照《阳泉市公务用车制度改革涉及的车辆处置办法》规定，对单位原有车辆进行了统一规范处置。根据《关于事业单位公务用车改革有关事项的通知》（阳车改发〔2018〕3号）文件要求，于2018年9月开始，按照审核方案发放公务交通补贴。</w:t>
      </w:r>
    </w:p>
    <w:p>
      <w:pPr>
        <w:widowControl/>
        <w:spacing w:line="640" w:lineRule="exact"/>
        <w:ind w:firstLine="588" w:firstLineChars="196"/>
        <w:jc w:val="left"/>
        <w:rPr>
          <w:rFonts w:hint="default" w:ascii="仿宋_GB2312" w:eastAsia="仿宋_GB2312"/>
          <w:kern w:val="0"/>
          <w:sz w:val="30"/>
          <w:szCs w:val="30"/>
          <w:lang w:val="en-US" w:eastAsia="zh-CN"/>
        </w:rPr>
      </w:pPr>
      <w:r>
        <w:rPr>
          <w:rFonts w:hint="eastAsia" w:ascii="仿宋_GB2312" w:eastAsia="仿宋_GB2312"/>
          <w:kern w:val="0"/>
          <w:sz w:val="30"/>
          <w:szCs w:val="30"/>
        </w:rPr>
        <w:t>2.房屋情况</w:t>
      </w:r>
      <w:r>
        <w:rPr>
          <w:rFonts w:hint="eastAsia" w:ascii="仿宋_GB2312" w:eastAsia="仿宋_GB2312"/>
          <w:kern w:val="0"/>
          <w:sz w:val="30"/>
          <w:szCs w:val="30"/>
          <w:lang w:eastAsia="zh-CN"/>
        </w:rPr>
        <w:t>：本部门单位没有相关内容</w:t>
      </w:r>
    </w:p>
    <w:p>
      <w:pPr>
        <w:widowControl/>
        <w:spacing w:line="640" w:lineRule="exact"/>
        <w:ind w:firstLine="627" w:firstLineChars="196"/>
        <w:jc w:val="left"/>
        <w:rPr>
          <w:rFonts w:hint="eastAsia" w:ascii="楷体_GB2312" w:eastAsia="楷体_GB2312"/>
          <w:kern w:val="0"/>
          <w:sz w:val="32"/>
          <w:szCs w:val="32"/>
        </w:rPr>
      </w:pPr>
      <w:r>
        <w:rPr>
          <w:rFonts w:hint="eastAsia" w:ascii="楷体_GB2312" w:eastAsia="楷体_GB2312"/>
          <w:kern w:val="0"/>
          <w:sz w:val="32"/>
          <w:szCs w:val="32"/>
        </w:rPr>
        <w:t>（</w:t>
      </w:r>
      <w:r>
        <w:rPr>
          <w:rFonts w:hint="eastAsia" w:ascii="楷体_GB2312" w:eastAsia="楷体_GB2312"/>
          <w:kern w:val="0"/>
          <w:sz w:val="32"/>
          <w:szCs w:val="32"/>
          <w:lang w:val="en-US" w:eastAsia="zh-CN"/>
        </w:rPr>
        <w:t>四</w:t>
      </w:r>
      <w:r>
        <w:rPr>
          <w:rFonts w:hint="eastAsia" w:ascii="楷体_GB2312" w:eastAsia="楷体_GB2312"/>
          <w:kern w:val="0"/>
          <w:sz w:val="32"/>
          <w:szCs w:val="32"/>
        </w:rPr>
        <w:t>）重点项目预算的绩效目标等预算绩效情况说明</w:t>
      </w:r>
    </w:p>
    <w:p>
      <w:pPr>
        <w:widowControl/>
        <w:spacing w:line="640" w:lineRule="exact"/>
        <w:ind w:firstLine="588" w:firstLineChars="196"/>
        <w:jc w:val="left"/>
        <w:rPr>
          <w:rFonts w:hint="default" w:ascii="仿宋_GB2312" w:eastAsia="仿宋_GB2312"/>
          <w:kern w:val="0"/>
          <w:sz w:val="30"/>
          <w:szCs w:val="30"/>
          <w:lang w:val="en-US" w:eastAsia="zh-CN"/>
        </w:rPr>
      </w:pPr>
      <w:r>
        <w:rPr>
          <w:rFonts w:hint="eastAsia" w:ascii="仿宋_GB2312" w:eastAsia="仿宋_GB2312"/>
          <w:kern w:val="0"/>
          <w:sz w:val="30"/>
          <w:szCs w:val="30"/>
          <w:lang w:eastAsia="zh-CN"/>
        </w:rPr>
        <w:t>本部门单位没有相关内容</w:t>
      </w:r>
    </w:p>
    <w:p>
      <w:pPr>
        <w:widowControl/>
        <w:tabs>
          <w:tab w:val="left" w:pos="851"/>
        </w:tabs>
        <w:spacing w:line="640" w:lineRule="exact"/>
        <w:ind w:firstLine="627" w:firstLineChars="196"/>
        <w:jc w:val="left"/>
        <w:rPr>
          <w:rFonts w:hint="eastAsia" w:ascii="楷体_GB2312" w:eastAsia="楷体_GB2312"/>
          <w:kern w:val="0"/>
          <w:sz w:val="32"/>
          <w:szCs w:val="32"/>
        </w:rPr>
      </w:pPr>
      <w:r>
        <w:rPr>
          <w:rFonts w:hint="eastAsia" w:ascii="楷体_GB2312" w:eastAsia="楷体_GB2312"/>
          <w:kern w:val="0"/>
          <w:sz w:val="32"/>
          <w:szCs w:val="32"/>
        </w:rPr>
        <w:t>（</w:t>
      </w:r>
      <w:r>
        <w:rPr>
          <w:rFonts w:hint="eastAsia" w:ascii="楷体_GB2312" w:eastAsia="楷体_GB2312"/>
          <w:kern w:val="0"/>
          <w:sz w:val="32"/>
          <w:szCs w:val="32"/>
          <w:lang w:val="en-US" w:eastAsia="zh-CN"/>
        </w:rPr>
        <w:t>五</w:t>
      </w:r>
      <w:r>
        <w:rPr>
          <w:rFonts w:hint="eastAsia" w:ascii="楷体_GB2312" w:eastAsia="楷体_GB2312"/>
          <w:kern w:val="0"/>
          <w:sz w:val="32"/>
          <w:szCs w:val="32"/>
        </w:rPr>
        <w:t>）名词解释</w:t>
      </w:r>
    </w:p>
    <w:p>
      <w:pPr>
        <w:widowControl/>
        <w:tabs>
          <w:tab w:val="left" w:pos="851"/>
        </w:tabs>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1.基本支出：为保障机构正常运转、完成日常工作任务而发生的人员支出和公用支出。</w:t>
      </w:r>
    </w:p>
    <w:p>
      <w:pPr>
        <w:widowControl/>
        <w:tabs>
          <w:tab w:val="left" w:pos="851"/>
        </w:tabs>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2.项目支出：在基本支出之外为完成特定行政任务和事业发展目标所发生的支出。</w:t>
      </w:r>
    </w:p>
    <w:p>
      <w:pPr>
        <w:widowControl/>
        <w:tabs>
          <w:tab w:val="left" w:pos="851"/>
        </w:tabs>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3.“三公”经费：市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公务用车运行维护费反映单位按规定保留的公务用车燃料费、维修费、过路过桥费、保险费、安全奖励费用等支出；公务接待费反映单位按规定开支的各类公务接待支出。</w:t>
      </w:r>
    </w:p>
    <w:p>
      <w:pPr>
        <w:widowControl/>
        <w:tabs>
          <w:tab w:val="left" w:pos="851"/>
        </w:tabs>
        <w:spacing w:line="640" w:lineRule="exact"/>
        <w:ind w:firstLine="588" w:firstLineChars="196"/>
        <w:jc w:val="left"/>
        <w:rPr>
          <w:rFonts w:hint="eastAsia" w:ascii="仿宋_GB2312" w:eastAsia="仿宋_GB2312"/>
          <w:kern w:val="0"/>
          <w:sz w:val="30"/>
          <w:szCs w:val="30"/>
        </w:rPr>
      </w:pPr>
      <w:r>
        <w:rPr>
          <w:rFonts w:hint="eastAsia" w:ascii="仿宋_GB2312" w:eastAsia="仿宋_GB2312"/>
          <w:kern w:val="0"/>
          <w:sz w:val="30"/>
          <w:szCs w:val="30"/>
        </w:rPr>
        <w:t>4.机关运行经费：行政单位和参照公务员法管理的事业单位使用一般公共预算安排的基本支出中的日常公用经费支出。</w:t>
      </w:r>
    </w:p>
    <w:p>
      <w:pPr>
        <w:widowControl/>
        <w:tabs>
          <w:tab w:val="left" w:pos="851"/>
        </w:tabs>
        <w:spacing w:line="640" w:lineRule="exact"/>
        <w:ind w:firstLine="588" w:firstLineChars="196"/>
        <w:jc w:val="left"/>
        <w:rPr>
          <w:rFonts w:hint="eastAsia" w:ascii="仿宋_GB2312" w:eastAsia="仿宋_GB2312"/>
          <w:kern w:val="0"/>
          <w:sz w:val="28"/>
          <w:szCs w:val="28"/>
        </w:rPr>
      </w:pPr>
      <w:r>
        <w:rPr>
          <w:rFonts w:hint="eastAsia" w:ascii="仿宋_GB2312" w:eastAsia="仿宋_GB2312"/>
          <w:kern w:val="0"/>
          <w:sz w:val="30"/>
          <w:szCs w:val="30"/>
        </w:rPr>
        <w:t>5.政府购买服务：政府按照一定的方式和程序，把属于政府职责范围且适合通过市场化方式提供的服务事项，交由符合条件的社会力量和事业单位承担，并根据服务数量和质量等向其支付费用的行为。</w:t>
      </w:r>
    </w:p>
    <w:p>
      <w:pPr>
        <w:widowControl/>
        <w:spacing w:line="640" w:lineRule="exact"/>
        <w:ind w:left="-2" w:leftChars="-1" w:firstLine="630" w:firstLineChars="196"/>
        <w:jc w:val="left"/>
        <w:rPr>
          <w:rFonts w:hint="eastAsia" w:ascii="宋体" w:hAnsi="宋体" w:cs="宋体"/>
          <w:b/>
          <w:kern w:val="0"/>
          <w:sz w:val="32"/>
          <w:szCs w:val="32"/>
        </w:rPr>
      </w:pPr>
      <w:r>
        <w:rPr>
          <w:rFonts w:hint="eastAsia" w:ascii="宋体" w:hAnsi="宋体" w:cs="宋体"/>
          <w:b/>
          <w:kern w:val="0"/>
          <w:sz w:val="32"/>
          <w:szCs w:val="32"/>
        </w:rPr>
        <w:t>四、2019年</w:t>
      </w:r>
      <w:r>
        <w:rPr>
          <w:rFonts w:hint="eastAsia" w:ascii="宋体" w:hAnsi="宋体" w:cs="宋体"/>
          <w:b/>
          <w:kern w:val="0"/>
          <w:sz w:val="32"/>
          <w:szCs w:val="32"/>
          <w:lang w:val="en-US" w:eastAsia="zh-CN"/>
        </w:rPr>
        <w:t>阳泉市水利工程项目技术中心</w:t>
      </w:r>
      <w:r>
        <w:rPr>
          <w:rFonts w:hint="eastAsia" w:ascii="宋体" w:hAnsi="宋体" w:cs="宋体"/>
          <w:b/>
          <w:kern w:val="0"/>
          <w:sz w:val="32"/>
          <w:szCs w:val="32"/>
        </w:rPr>
        <w:t>预算信息公开表</w:t>
      </w:r>
    </w:p>
    <w:p>
      <w:pPr>
        <w:widowControl/>
        <w:numPr>
          <w:ilvl w:val="0"/>
          <w:numId w:val="2"/>
        </w:numPr>
        <w:spacing w:line="640" w:lineRule="exact"/>
        <w:ind w:firstLine="627" w:firstLineChars="196"/>
        <w:jc w:val="left"/>
        <w:rPr>
          <w:rFonts w:hint="eastAsia" w:ascii="楷体" w:hAnsi="楷体" w:eastAsia="楷体" w:cs="宋体"/>
          <w:kern w:val="0"/>
          <w:sz w:val="32"/>
          <w:szCs w:val="32"/>
          <w:lang w:eastAsia="zh-CN"/>
        </w:rPr>
      </w:pPr>
      <w:r>
        <w:rPr>
          <w:rFonts w:hint="eastAsia" w:ascii="楷体" w:hAnsi="楷体" w:eastAsia="楷体" w:cs="宋体"/>
          <w:kern w:val="0"/>
          <w:sz w:val="32"/>
          <w:szCs w:val="32"/>
        </w:rPr>
        <w:t>部门收支总表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rPr>
        <w:t>部门收入总表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lang w:eastAsia="zh-CN"/>
        </w:rPr>
      </w:pPr>
      <w:r>
        <w:rPr>
          <w:rFonts w:hint="eastAsia" w:ascii="楷体" w:hAnsi="楷体" w:eastAsia="楷体" w:cs="宋体"/>
          <w:kern w:val="0"/>
          <w:sz w:val="32"/>
          <w:szCs w:val="32"/>
        </w:rPr>
        <w:t>部门支出总表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rPr>
        <w:t>财政拨款收支总表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lang w:eastAsia="zh-CN"/>
        </w:rPr>
      </w:pPr>
      <w:r>
        <w:rPr>
          <w:rFonts w:hint="eastAsia" w:ascii="楷体" w:hAnsi="楷体" w:eastAsia="楷体" w:cs="宋体"/>
          <w:kern w:val="0"/>
          <w:sz w:val="32"/>
          <w:szCs w:val="32"/>
        </w:rPr>
        <w:t>一般公共预算支出表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lang w:eastAsia="zh-CN"/>
        </w:rPr>
        <w:t>一般公共预算安排的基本支出分经济科目表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rPr>
        <w:t>政府性基金预算支出表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rPr>
        <w:t>一般公共预算“三公”经费预算表</w:t>
      </w:r>
    </w:p>
    <w:p>
      <w:pPr>
        <w:widowControl/>
        <w:numPr>
          <w:ilvl w:val="0"/>
          <w:numId w:val="2"/>
        </w:numPr>
        <w:spacing w:line="640" w:lineRule="exact"/>
        <w:ind w:left="0" w:leftChars="0" w:firstLine="627" w:firstLineChars="196"/>
        <w:jc w:val="left"/>
        <w:rPr>
          <w:rFonts w:hint="eastAsia" w:ascii="楷体" w:hAnsi="楷体" w:eastAsia="楷体" w:cs="宋体"/>
          <w:kern w:val="0"/>
          <w:sz w:val="32"/>
          <w:szCs w:val="32"/>
        </w:rPr>
      </w:pPr>
      <w:r>
        <w:rPr>
          <w:rFonts w:hint="eastAsia" w:ascii="楷体" w:hAnsi="楷体" w:eastAsia="楷体" w:cs="宋体"/>
          <w:kern w:val="0"/>
          <w:sz w:val="32"/>
          <w:szCs w:val="32"/>
        </w:rPr>
        <w:t>政府采购预算表</w:t>
      </w:r>
    </w:p>
    <w:p>
      <w:pPr>
        <w:widowControl/>
        <w:spacing w:line="600" w:lineRule="exact"/>
        <w:ind w:firstLine="627" w:firstLineChars="196"/>
        <w:jc w:val="left"/>
        <w:rPr>
          <w:rFonts w:hint="eastAsia" w:ascii="楷体" w:hAnsi="楷体" w:eastAsia="楷体" w:cs="宋体"/>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F3F94A"/>
    <w:multiLevelType w:val="singleLevel"/>
    <w:tmpl w:val="A9F3F94A"/>
    <w:lvl w:ilvl="0" w:tentative="0">
      <w:start w:val="1"/>
      <w:numFmt w:val="decimal"/>
      <w:lvlText w:val="(%1)"/>
      <w:lvlJc w:val="left"/>
      <w:pPr>
        <w:tabs>
          <w:tab w:val="left" w:pos="312"/>
        </w:tabs>
      </w:pPr>
    </w:lvl>
  </w:abstractNum>
  <w:abstractNum w:abstractNumId="1">
    <w:nsid w:val="61D6C78D"/>
    <w:multiLevelType w:val="singleLevel"/>
    <w:tmpl w:val="61D6C78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8B6FAF"/>
    <w:rsid w:val="1F965792"/>
    <w:rsid w:val="2373116C"/>
    <w:rsid w:val="280072DB"/>
    <w:rsid w:val="2E254595"/>
    <w:rsid w:val="421F7EAC"/>
    <w:rsid w:val="466B1277"/>
    <w:rsid w:val="4B5F0FE3"/>
    <w:rsid w:val="4F3A116B"/>
    <w:rsid w:val="502D71D8"/>
    <w:rsid w:val="54101DB7"/>
    <w:rsid w:val="60E87796"/>
    <w:rsid w:val="66387B39"/>
    <w:rsid w:val="7B367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zl</dc:creator>
  <cp:lastModifiedBy>zl</cp:lastModifiedBy>
  <cp:lastPrinted>2019-04-11T01:46:31Z</cp:lastPrinted>
  <dcterms:modified xsi:type="dcterms:W3CDTF">2019-04-11T01:47:42Z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